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17" w:rsidRPr="003D6D38" w:rsidRDefault="00CE5C17" w:rsidP="00CE5C17">
      <w:pPr>
        <w:shd w:val="clear" w:color="auto" w:fill="FFFFFF"/>
        <w:spacing w:after="240" w:line="360" w:lineRule="atLeast"/>
        <w:rPr>
          <w:rFonts w:eastAsia="Times New Roman" w:cs="Arial"/>
          <w:b/>
          <w:color w:val="444444"/>
          <w:sz w:val="36"/>
          <w:szCs w:val="36"/>
          <w:lang w:eastAsia="en-GB"/>
        </w:rPr>
      </w:pPr>
      <w:r w:rsidRPr="003D6D38">
        <w:rPr>
          <w:rFonts w:eastAsia="Times New Roman" w:cs="Arial"/>
          <w:b/>
          <w:noProof/>
          <w:color w:val="444444"/>
          <w:sz w:val="36"/>
          <w:szCs w:val="36"/>
          <w:lang w:eastAsia="en-GB"/>
        </w:rPr>
        <w:drawing>
          <wp:anchor distT="0" distB="0" distL="114300" distR="114300" simplePos="0" relativeHeight="251659264" behindDoc="1" locked="0" layoutInCell="1" allowOverlap="1">
            <wp:simplePos x="0" y="0"/>
            <wp:positionH relativeFrom="column">
              <wp:posOffset>5522703</wp:posOffset>
            </wp:positionH>
            <wp:positionV relativeFrom="paragraph">
              <wp:posOffset>-672860</wp:posOffset>
            </wp:positionV>
            <wp:extent cx="705569" cy="655607"/>
            <wp:effectExtent l="19050" t="0" r="0" b="0"/>
            <wp:wrapNone/>
            <wp:docPr id="4" name="Picture 4" descr="Sut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tonlogo"/>
                    <pic:cNvPicPr>
                      <a:picLocks noChangeAspect="1" noChangeArrowheads="1"/>
                    </pic:cNvPicPr>
                  </pic:nvPicPr>
                  <pic:blipFill>
                    <a:blip r:embed="rId5" cstate="print"/>
                    <a:srcRect/>
                    <a:stretch>
                      <a:fillRect/>
                    </a:stretch>
                  </pic:blipFill>
                  <pic:spPr bwMode="auto">
                    <a:xfrm>
                      <a:off x="0" y="0"/>
                      <a:ext cx="705569" cy="655607"/>
                    </a:xfrm>
                    <a:prstGeom prst="rect">
                      <a:avLst/>
                    </a:prstGeom>
                    <a:noFill/>
                  </pic:spPr>
                </pic:pic>
              </a:graphicData>
            </a:graphic>
          </wp:anchor>
        </w:drawing>
      </w:r>
      <w:r w:rsidR="003D6D38" w:rsidRPr="003D6D38">
        <w:rPr>
          <w:rFonts w:eastAsia="Times New Roman" w:cs="Arial"/>
          <w:b/>
          <w:noProof/>
          <w:color w:val="444444"/>
          <w:sz w:val="36"/>
          <w:szCs w:val="36"/>
          <w:lang w:eastAsia="en-GB"/>
        </w:rPr>
        <w:t xml:space="preserve">Guidance for </w:t>
      </w:r>
      <w:r w:rsidR="0070084F">
        <w:rPr>
          <w:rFonts w:eastAsia="Times New Roman" w:cs="Arial"/>
          <w:b/>
          <w:noProof/>
          <w:color w:val="444444"/>
          <w:sz w:val="36"/>
          <w:szCs w:val="36"/>
          <w:lang w:eastAsia="en-GB"/>
        </w:rPr>
        <w:t>Special Schools</w:t>
      </w:r>
    </w:p>
    <w:p w:rsidR="00905F43" w:rsidRDefault="00CE5C17" w:rsidP="00DC3C07">
      <w:pPr>
        <w:shd w:val="clear" w:color="auto" w:fill="FFFFFF"/>
        <w:spacing w:after="240" w:line="360" w:lineRule="atLeast"/>
        <w:rPr>
          <w:rFonts w:eastAsia="Times New Roman" w:cs="Arial"/>
          <w:color w:val="444444"/>
          <w:szCs w:val="24"/>
          <w:lang w:eastAsia="en-GB"/>
        </w:rPr>
      </w:pPr>
      <w:r w:rsidRPr="003D6D38">
        <w:rPr>
          <w:rFonts w:eastAsia="Times New Roman" w:cs="Arial"/>
          <w:color w:val="444444"/>
          <w:szCs w:val="24"/>
          <w:lang w:eastAsia="en-GB"/>
        </w:rPr>
        <w:t xml:space="preserve">The June 2014 </w:t>
      </w:r>
      <w:r w:rsidR="004D6595">
        <w:rPr>
          <w:rFonts w:eastAsia="Times New Roman" w:cs="Arial"/>
          <w:color w:val="444444"/>
          <w:szCs w:val="24"/>
          <w:lang w:eastAsia="en-GB"/>
        </w:rPr>
        <w:t xml:space="preserve">draft </w:t>
      </w:r>
      <w:r w:rsidRPr="003D6D38">
        <w:rPr>
          <w:rFonts w:eastAsia="Times New Roman" w:cs="Arial"/>
          <w:color w:val="444444"/>
          <w:szCs w:val="24"/>
          <w:lang w:eastAsia="en-GB"/>
        </w:rPr>
        <w:t>edition of the Code of Practice</w:t>
      </w:r>
      <w:r w:rsidR="0070084F">
        <w:rPr>
          <w:rFonts w:eastAsia="Times New Roman" w:cs="Arial"/>
          <w:color w:val="444444"/>
          <w:szCs w:val="24"/>
          <w:lang w:eastAsia="en-GB"/>
        </w:rPr>
        <w:t>, Chapter 6</w:t>
      </w:r>
      <w:r w:rsidR="003D6D38">
        <w:rPr>
          <w:rFonts w:eastAsia="Times New Roman" w:cs="Arial"/>
          <w:color w:val="444444"/>
          <w:szCs w:val="24"/>
          <w:lang w:eastAsia="en-GB"/>
        </w:rPr>
        <w:t xml:space="preserve"> relates to the duties</w:t>
      </w:r>
      <w:r w:rsidR="0070084F">
        <w:rPr>
          <w:rFonts w:eastAsia="Times New Roman" w:cs="Arial"/>
          <w:color w:val="444444"/>
          <w:szCs w:val="24"/>
          <w:lang w:eastAsia="en-GB"/>
        </w:rPr>
        <w:t xml:space="preserve"> placed on schools</w:t>
      </w:r>
      <w:r w:rsidR="00DC3C07">
        <w:rPr>
          <w:rFonts w:eastAsia="Times New Roman" w:cs="Arial"/>
          <w:color w:val="444444"/>
          <w:szCs w:val="24"/>
          <w:lang w:eastAsia="en-GB"/>
        </w:rPr>
        <w:t xml:space="preserve">. Below </w:t>
      </w:r>
      <w:r w:rsidR="00905F43">
        <w:rPr>
          <w:rFonts w:eastAsia="Times New Roman" w:cs="Arial"/>
          <w:color w:val="444444"/>
          <w:szCs w:val="24"/>
          <w:lang w:eastAsia="en-GB"/>
        </w:rPr>
        <w:t xml:space="preserve">are some of the points in the Code of Practice relating to </w:t>
      </w:r>
      <w:r w:rsidR="0070084F">
        <w:rPr>
          <w:rFonts w:eastAsia="Times New Roman" w:cs="Arial"/>
          <w:color w:val="444444"/>
          <w:szCs w:val="24"/>
          <w:lang w:eastAsia="en-GB"/>
        </w:rPr>
        <w:t>schools</w:t>
      </w:r>
      <w:r w:rsidR="00905F43">
        <w:rPr>
          <w:rFonts w:eastAsia="Times New Roman" w:cs="Arial"/>
          <w:color w:val="444444"/>
          <w:szCs w:val="24"/>
          <w:lang w:eastAsia="en-GB"/>
        </w:rPr>
        <w:t xml:space="preserve"> and full information can be accessed in this link:</w:t>
      </w:r>
    </w:p>
    <w:p w:rsidR="00905F43" w:rsidRDefault="00917DBB" w:rsidP="00DC3C07">
      <w:pPr>
        <w:shd w:val="clear" w:color="auto" w:fill="FFFFFF"/>
        <w:spacing w:after="240" w:line="360" w:lineRule="atLeast"/>
        <w:rPr>
          <w:rFonts w:eastAsia="Times New Roman" w:cs="Arial"/>
          <w:color w:val="444444"/>
          <w:szCs w:val="24"/>
          <w:lang w:eastAsia="en-GB"/>
        </w:rPr>
      </w:pPr>
      <w:hyperlink r:id="rId6" w:history="1">
        <w:r w:rsidR="00905F43" w:rsidRPr="007255A6">
          <w:rPr>
            <w:rStyle w:val="Hyperlink"/>
            <w:rFonts w:eastAsia="Times New Roman" w:cs="Arial"/>
            <w:szCs w:val="24"/>
            <w:lang w:eastAsia="en-GB"/>
          </w:rPr>
          <w:t>https://www.gov.uk/government/uploads/system/uploads/attachment_data/file/325875/SEND-Code_of_Practice-June2014.pdf</w:t>
        </w:r>
      </w:hyperlink>
    </w:p>
    <w:p w:rsidR="003D6D38" w:rsidRPr="003D6D38" w:rsidRDefault="00DC3C07" w:rsidP="00DC3C07">
      <w:pPr>
        <w:shd w:val="clear" w:color="auto" w:fill="FFFFFF"/>
        <w:spacing w:after="240" w:line="360" w:lineRule="atLeast"/>
        <w:rPr>
          <w:b/>
          <w:sz w:val="28"/>
          <w:szCs w:val="28"/>
        </w:rPr>
      </w:pPr>
      <w:r w:rsidRPr="003D6D38">
        <w:rPr>
          <w:b/>
          <w:sz w:val="28"/>
          <w:szCs w:val="28"/>
        </w:rPr>
        <w:t xml:space="preserve"> </w:t>
      </w:r>
      <w:r w:rsidR="0070084F">
        <w:rPr>
          <w:b/>
          <w:sz w:val="28"/>
          <w:szCs w:val="28"/>
        </w:rPr>
        <w:t>6</w:t>
      </w:r>
      <w:r w:rsidR="003D6D38" w:rsidRPr="003D6D38">
        <w:rPr>
          <w:b/>
          <w:sz w:val="28"/>
          <w:szCs w:val="28"/>
        </w:rPr>
        <w:t xml:space="preserve"> </w:t>
      </w:r>
      <w:r w:rsidR="0070084F">
        <w:rPr>
          <w:b/>
          <w:sz w:val="28"/>
          <w:szCs w:val="28"/>
        </w:rPr>
        <w:t>Schools</w:t>
      </w:r>
    </w:p>
    <w:p w:rsidR="0070084F" w:rsidRPr="003D6D38" w:rsidRDefault="003D6D38" w:rsidP="003D6D38">
      <w:pPr>
        <w:pStyle w:val="NoSpacing"/>
        <w:rPr>
          <w:b/>
        </w:rPr>
      </w:pPr>
      <w:r w:rsidRPr="003D6D38">
        <w:rPr>
          <w:b/>
        </w:rPr>
        <w:t xml:space="preserve">What this chapter covers </w:t>
      </w:r>
    </w:p>
    <w:p w:rsidR="003D6D38" w:rsidRDefault="0070084F" w:rsidP="0070084F">
      <w:r w:rsidRPr="0070084F">
        <w:t>This chapter applies mostly to mainstream schools. The Equality Act duties described under ‘Equality and inclusion’ and the duty to publish an SEN information report under ‘Publishing information: SEN information report’ apply to special schools, as do schools’ duties in respect of EHC needs assessments and plans (Chapter 9 – Education, Health and Care needs assessments and plans). The chapter explains the action that mainstream schools should take to meet their duties in relation to identifying and supporting all children with special educational needs (SEN) whether or not they have an Education, Health and Care (EHC) plan.</w:t>
      </w:r>
    </w:p>
    <w:p w:rsidR="0070084F" w:rsidRDefault="0070084F" w:rsidP="0070084F">
      <w:pPr>
        <w:pStyle w:val="Default"/>
        <w:spacing w:before="200" w:after="120"/>
        <w:rPr>
          <w:sz w:val="32"/>
          <w:szCs w:val="32"/>
        </w:rPr>
      </w:pPr>
      <w:r>
        <w:rPr>
          <w:b/>
          <w:bCs/>
          <w:sz w:val="32"/>
          <w:szCs w:val="32"/>
        </w:rPr>
        <w:t xml:space="preserve">Publishing information: SEN information report </w:t>
      </w:r>
    </w:p>
    <w:p w:rsidR="0070084F" w:rsidRDefault="0070084F" w:rsidP="0070084F">
      <w:r>
        <w:t xml:space="preserve">6.79  The governing bodies of maintained schools and maintained nursery schools and the proprietors of academy schools </w:t>
      </w:r>
      <w:r>
        <w:rPr>
          <w:b/>
          <w:bCs/>
        </w:rPr>
        <w:t xml:space="preserve">must </w:t>
      </w:r>
      <w:r>
        <w:t xml:space="preserve">publish information on their websites about the implementation of the governing body’s or the proprietor’s policy for pupils with SEN. The information published should be updated annually and any changes to the information occurring during the year should be updated as soon as possible. The information required is set out in the Special Educational Needs and Disability Regulations 2014 and </w:t>
      </w:r>
      <w:r>
        <w:rPr>
          <w:b/>
          <w:bCs/>
        </w:rPr>
        <w:t xml:space="preserve">must </w:t>
      </w:r>
      <w:r>
        <w:t xml:space="preserve">include information about: </w:t>
      </w:r>
    </w:p>
    <w:p w:rsidR="0070084F" w:rsidRDefault="0070084F" w:rsidP="0070084F">
      <w:pPr>
        <w:ind w:firstLine="720"/>
      </w:pPr>
      <w:r>
        <w:t xml:space="preserve">• </w:t>
      </w:r>
      <w:proofErr w:type="gramStart"/>
      <w:r>
        <w:t>the</w:t>
      </w:r>
      <w:proofErr w:type="gramEnd"/>
      <w:r>
        <w:t xml:space="preserve"> kinds of SEN that are provided for </w:t>
      </w:r>
    </w:p>
    <w:p w:rsidR="0070084F" w:rsidRDefault="0070084F" w:rsidP="0070084F">
      <w:pPr>
        <w:ind w:left="720"/>
      </w:pPr>
      <w:r>
        <w:t xml:space="preserve">• </w:t>
      </w:r>
      <w:proofErr w:type="gramStart"/>
      <w:r>
        <w:t>policies</w:t>
      </w:r>
      <w:proofErr w:type="gramEnd"/>
      <w:r>
        <w:t xml:space="preserve"> for identifying children and young people with SEN and assessing   their needs, including the name and contact details of the SENCO (mainstream schools) </w:t>
      </w:r>
    </w:p>
    <w:p w:rsidR="0070084F" w:rsidRDefault="0070084F" w:rsidP="0070084F">
      <w:pPr>
        <w:ind w:left="720"/>
      </w:pPr>
      <w:r>
        <w:t xml:space="preserve">• </w:t>
      </w:r>
      <w:proofErr w:type="gramStart"/>
      <w:r>
        <w:t>arrangements</w:t>
      </w:r>
      <w:proofErr w:type="gramEnd"/>
      <w:r>
        <w:t xml:space="preserve"> for consulting parents of children with SEN and involving them in their child’s education </w:t>
      </w:r>
    </w:p>
    <w:p w:rsidR="0070084F" w:rsidRDefault="0070084F" w:rsidP="0070084F">
      <w:pPr>
        <w:ind w:left="720"/>
      </w:pPr>
      <w:r>
        <w:t xml:space="preserve">• </w:t>
      </w:r>
      <w:proofErr w:type="gramStart"/>
      <w:r>
        <w:t>arrangements</w:t>
      </w:r>
      <w:proofErr w:type="gramEnd"/>
      <w:r>
        <w:t xml:space="preserve"> for consulting young people with SEN and involving them in their education </w:t>
      </w:r>
    </w:p>
    <w:p w:rsidR="0070084F" w:rsidRDefault="0070084F" w:rsidP="0070084F">
      <w:pPr>
        <w:ind w:left="720"/>
      </w:pPr>
      <w:r>
        <w:t xml:space="preserve">• </w:t>
      </w:r>
      <w:proofErr w:type="gramStart"/>
      <w:r>
        <w:t>arrangements</w:t>
      </w:r>
      <w:proofErr w:type="gramEnd"/>
      <w:r>
        <w:t xml:space="preserve"> for assessing and reviewing children and young people’s progress towards outcomes. This should include the opportunities available to work with parents and young people as part of this assessment and review </w:t>
      </w:r>
    </w:p>
    <w:p w:rsidR="0070084F" w:rsidRDefault="0070084F" w:rsidP="0070084F">
      <w:pPr>
        <w:ind w:left="720"/>
      </w:pPr>
      <w:r>
        <w:t xml:space="preserve">• </w:t>
      </w:r>
      <w:proofErr w:type="gramStart"/>
      <w:r>
        <w:t>arrangements</w:t>
      </w:r>
      <w:proofErr w:type="gramEnd"/>
      <w:r>
        <w:t xml:space="preserve">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 </w:t>
      </w:r>
    </w:p>
    <w:p w:rsidR="0070084F" w:rsidRDefault="0070084F" w:rsidP="0070084F">
      <w:pPr>
        <w:ind w:firstLine="720"/>
      </w:pPr>
      <w:r>
        <w:lastRenderedPageBreak/>
        <w:t xml:space="preserve">• </w:t>
      </w:r>
      <w:proofErr w:type="gramStart"/>
      <w:r>
        <w:t>the</w:t>
      </w:r>
      <w:proofErr w:type="gramEnd"/>
      <w:r>
        <w:t xml:space="preserve"> approach to teaching children and young people with SEN </w:t>
      </w:r>
    </w:p>
    <w:p w:rsidR="0070084F" w:rsidRDefault="0070084F" w:rsidP="0070084F">
      <w:pPr>
        <w:ind w:left="720"/>
      </w:pPr>
      <w:r>
        <w:t xml:space="preserve">• </w:t>
      </w:r>
      <w:proofErr w:type="gramStart"/>
      <w:r>
        <w:t>how</w:t>
      </w:r>
      <w:proofErr w:type="gramEnd"/>
      <w:r>
        <w:t xml:space="preserve"> adaptations are made to the curriculum and the learning environment of children and young people with SEN </w:t>
      </w:r>
    </w:p>
    <w:p w:rsidR="00BA559C" w:rsidRDefault="0070084F" w:rsidP="00BA559C">
      <w:pPr>
        <w:pStyle w:val="ListParagraph"/>
        <w:numPr>
          <w:ilvl w:val="0"/>
          <w:numId w:val="15"/>
        </w:numPr>
      </w:pPr>
      <w:r>
        <w:t xml:space="preserve">the expertise and training of staff to support children and young people with SEN, including how specialist expertise will be secured </w:t>
      </w:r>
    </w:p>
    <w:p w:rsidR="0070084F" w:rsidRDefault="0070084F" w:rsidP="00BA559C">
      <w:pPr>
        <w:pStyle w:val="NoSpacing"/>
        <w:numPr>
          <w:ilvl w:val="0"/>
          <w:numId w:val="15"/>
        </w:numPr>
      </w:pPr>
      <w:r w:rsidRPr="0070084F">
        <w:t xml:space="preserve">evaluating the effectiveness of the provision made for children and young people with SEN </w:t>
      </w:r>
    </w:p>
    <w:p w:rsidR="00BA559C" w:rsidRPr="0070084F" w:rsidRDefault="00BA559C" w:rsidP="00BA559C">
      <w:pPr>
        <w:pStyle w:val="NoSpacing"/>
        <w:ind w:left="1080"/>
      </w:pPr>
    </w:p>
    <w:p w:rsidR="0070084F" w:rsidRPr="0070084F" w:rsidRDefault="0070084F" w:rsidP="00BA559C">
      <w:pPr>
        <w:ind w:left="720"/>
        <w:rPr>
          <w:rFonts w:cs="Arial"/>
          <w:color w:val="000000"/>
        </w:rPr>
      </w:pPr>
      <w:r w:rsidRPr="0070084F">
        <w:rPr>
          <w:rFonts w:cs="Arial"/>
          <w:color w:val="000000"/>
        </w:rPr>
        <w:t xml:space="preserve">• </w:t>
      </w:r>
      <w:proofErr w:type="gramStart"/>
      <w:r w:rsidRPr="0070084F">
        <w:rPr>
          <w:rFonts w:cs="Arial"/>
          <w:color w:val="000000"/>
        </w:rPr>
        <w:t>how</w:t>
      </w:r>
      <w:proofErr w:type="gramEnd"/>
      <w:r w:rsidRPr="0070084F">
        <w:rPr>
          <w:rFonts w:cs="Arial"/>
          <w:color w:val="000000"/>
        </w:rPr>
        <w:t xml:space="preserve"> children and young people with SEN are enabled to engage in activities available with children and young people in the school who do not have SEN </w:t>
      </w:r>
    </w:p>
    <w:p w:rsidR="0070084F" w:rsidRPr="0070084F" w:rsidRDefault="0070084F" w:rsidP="00BA559C">
      <w:pPr>
        <w:ind w:left="720"/>
        <w:rPr>
          <w:rFonts w:cs="Arial"/>
          <w:color w:val="000000"/>
        </w:rPr>
      </w:pPr>
      <w:r w:rsidRPr="0070084F">
        <w:rPr>
          <w:rFonts w:cs="Arial"/>
          <w:color w:val="000000"/>
        </w:rPr>
        <w:t xml:space="preserve">• </w:t>
      </w:r>
      <w:proofErr w:type="gramStart"/>
      <w:r w:rsidRPr="0070084F">
        <w:rPr>
          <w:rFonts w:cs="Arial"/>
          <w:color w:val="000000"/>
        </w:rPr>
        <w:t>support</w:t>
      </w:r>
      <w:proofErr w:type="gramEnd"/>
      <w:r w:rsidRPr="0070084F">
        <w:rPr>
          <w:rFonts w:cs="Arial"/>
          <w:color w:val="000000"/>
        </w:rPr>
        <w:t xml:space="preserve"> for improving emotional and social development. This should include extra pastoral support arrangements for listening to the views of children and young people with SEN and measures to prevent bullying </w:t>
      </w:r>
    </w:p>
    <w:p w:rsidR="0070084F" w:rsidRPr="0070084F" w:rsidRDefault="0070084F" w:rsidP="00BA559C">
      <w:pPr>
        <w:ind w:left="720"/>
        <w:rPr>
          <w:rFonts w:cs="Arial"/>
          <w:color w:val="000000"/>
        </w:rPr>
      </w:pPr>
      <w:r w:rsidRPr="0070084F">
        <w:rPr>
          <w:rFonts w:cs="Arial"/>
          <w:color w:val="000000"/>
        </w:rPr>
        <w:t xml:space="preserve">• how the school involves other bodies, including health and social care bodies, local authority support services and voluntary sector organisations, in meeting children and young people’s SEN and supporting their families </w:t>
      </w:r>
    </w:p>
    <w:p w:rsidR="00BA559C" w:rsidRDefault="0070084F" w:rsidP="00BA559C">
      <w:pPr>
        <w:ind w:left="720"/>
        <w:rPr>
          <w:rFonts w:cs="Arial"/>
          <w:color w:val="000000"/>
        </w:rPr>
      </w:pPr>
      <w:r w:rsidRPr="0070084F">
        <w:rPr>
          <w:rFonts w:cs="Arial"/>
          <w:color w:val="000000"/>
        </w:rPr>
        <w:t xml:space="preserve">• </w:t>
      </w:r>
      <w:proofErr w:type="gramStart"/>
      <w:r w:rsidRPr="0070084F">
        <w:rPr>
          <w:rFonts w:cs="Arial"/>
          <w:color w:val="000000"/>
        </w:rPr>
        <w:t>arrangements</w:t>
      </w:r>
      <w:proofErr w:type="gramEnd"/>
      <w:r w:rsidRPr="0070084F">
        <w:rPr>
          <w:rFonts w:cs="Arial"/>
          <w:color w:val="000000"/>
        </w:rPr>
        <w:t xml:space="preserve"> for handling complaints from parents of children with SEN about the provision made at the school</w:t>
      </w:r>
    </w:p>
    <w:p w:rsidR="0070084F" w:rsidRDefault="0070084F" w:rsidP="00BA559C">
      <w:pPr>
        <w:pStyle w:val="NoSpacing"/>
      </w:pPr>
      <w:r w:rsidRPr="0070084F">
        <w:t xml:space="preserve"> 6.80 The above should include arrangements for supporting children and young people who are looked after by the local authority and have SEN. </w:t>
      </w:r>
    </w:p>
    <w:p w:rsidR="00BA559C" w:rsidRPr="0070084F" w:rsidRDefault="00BA559C" w:rsidP="00BA559C">
      <w:pPr>
        <w:pStyle w:val="NoSpacing"/>
      </w:pPr>
    </w:p>
    <w:p w:rsidR="003D6D38" w:rsidRDefault="0070084F" w:rsidP="00BA559C">
      <w:r w:rsidRPr="0070084F">
        <w:rPr>
          <w:rFonts w:cs="Arial"/>
          <w:color w:val="000000"/>
        </w:rPr>
        <w:t xml:space="preserve">6.81 Schools should ensure that the information is easily accessible by young people and parents and is set out in clear, straightforward language. It should include information on the school’s SEN policy and named contacts within the school for situations where young people or parents have concerns. It should also give details of the school’s contribution to the Local Offer and </w:t>
      </w:r>
      <w:r w:rsidRPr="0070084F">
        <w:rPr>
          <w:rFonts w:cs="Arial"/>
          <w:b/>
          <w:bCs/>
          <w:color w:val="000000"/>
        </w:rPr>
        <w:t xml:space="preserve">must </w:t>
      </w:r>
      <w:r w:rsidRPr="0070084F">
        <w:rPr>
          <w:rFonts w:cs="Arial"/>
          <w:color w:val="000000"/>
        </w:rPr>
        <w:t xml:space="preserve">include information on where the local authority’s Local Offer is published. </w:t>
      </w:r>
    </w:p>
    <w:p w:rsidR="00CE5C17" w:rsidRPr="003D6D38" w:rsidRDefault="00CE5C17" w:rsidP="00CE5C17">
      <w:pPr>
        <w:shd w:val="clear" w:color="auto" w:fill="FFFFFF"/>
        <w:spacing w:after="0" w:line="324" w:lineRule="atLeast"/>
        <w:rPr>
          <w:rFonts w:eastAsia="Times New Roman" w:cs="Arial"/>
          <w:color w:val="444444"/>
          <w:szCs w:val="24"/>
          <w:lang w:eastAsia="en-GB"/>
        </w:rPr>
      </w:pPr>
    </w:p>
    <w:p w:rsidR="00CE5C17" w:rsidRPr="003D6D38" w:rsidRDefault="00CE5C17" w:rsidP="00CE5C17">
      <w:pPr>
        <w:shd w:val="clear" w:color="auto" w:fill="FFFFFF"/>
        <w:spacing w:after="0" w:line="324" w:lineRule="atLeast"/>
        <w:rPr>
          <w:rFonts w:eastAsia="Times New Roman" w:cs="Arial"/>
          <w:b/>
          <w:szCs w:val="24"/>
          <w:lang w:eastAsia="en-GB"/>
        </w:rPr>
      </w:pPr>
      <w:r w:rsidRPr="003D6D38">
        <w:rPr>
          <w:rFonts w:eastAsia="Times New Roman" w:cs="Arial"/>
          <w:b/>
          <w:szCs w:val="24"/>
          <w:lang w:eastAsia="en-GB"/>
        </w:rPr>
        <w:t>Top tips for presenting your Offer</w:t>
      </w:r>
    </w:p>
    <w:p w:rsidR="00CE5C17" w:rsidRPr="003D6D38" w:rsidRDefault="00CE5C17" w:rsidP="00CE5C17">
      <w:pPr>
        <w:shd w:val="clear" w:color="auto" w:fill="FFFFFF"/>
        <w:spacing w:after="0" w:line="324" w:lineRule="atLeast"/>
        <w:rPr>
          <w:rFonts w:eastAsia="Times New Roman" w:cs="Arial"/>
          <w:szCs w:val="24"/>
          <w:lang w:eastAsia="en-GB"/>
        </w:rPr>
      </w:pPr>
      <w:r w:rsidRPr="003D6D38">
        <w:rPr>
          <w:rFonts w:eastAsia="Times New Roman" w:cs="Arial"/>
          <w:color w:val="444444"/>
          <w:szCs w:val="24"/>
          <w:lang w:eastAsia="en-GB"/>
        </w:rPr>
        <w:br/>
      </w:r>
      <w:r w:rsidRPr="003D6D38">
        <w:rPr>
          <w:rFonts w:eastAsia="Times New Roman" w:cs="Arial"/>
          <w:szCs w:val="24"/>
          <w:lang w:eastAsia="en-GB"/>
        </w:rPr>
        <w:t>Think about the wide audience who may want to access your Local Offer:</w:t>
      </w:r>
      <w:r w:rsidRPr="003D6D38">
        <w:rPr>
          <w:rFonts w:eastAsia="Times New Roman" w:cs="Arial"/>
          <w:szCs w:val="24"/>
          <w:lang w:eastAsia="en-GB"/>
        </w:rPr>
        <w:br/>
      </w:r>
    </w:p>
    <w:p w:rsidR="00CE5C17" w:rsidRPr="003D6D38" w:rsidRDefault="00CE5C17" w:rsidP="00CE5C17">
      <w:pPr>
        <w:numPr>
          <w:ilvl w:val="0"/>
          <w:numId w:val="3"/>
        </w:numPr>
        <w:shd w:val="clear" w:color="auto" w:fill="FFFFFF"/>
        <w:spacing w:after="0" w:line="324" w:lineRule="atLeast"/>
        <w:rPr>
          <w:rFonts w:eastAsia="Times New Roman" w:cs="Arial"/>
          <w:szCs w:val="24"/>
          <w:lang w:eastAsia="en-GB"/>
        </w:rPr>
      </w:pPr>
      <w:r w:rsidRPr="003D6D38">
        <w:rPr>
          <w:rFonts w:eastAsia="Times New Roman" w:cs="Arial"/>
          <w:szCs w:val="24"/>
          <w:lang w:eastAsia="en-GB"/>
        </w:rPr>
        <w:t>use short, bite-size sentences or paragraphs to convey your information</w:t>
      </w:r>
    </w:p>
    <w:p w:rsidR="00CE5C17" w:rsidRPr="003D6D38" w:rsidRDefault="00CE5C17" w:rsidP="00CE5C17">
      <w:pPr>
        <w:numPr>
          <w:ilvl w:val="0"/>
          <w:numId w:val="3"/>
        </w:numPr>
        <w:shd w:val="clear" w:color="auto" w:fill="FFFFFF"/>
        <w:spacing w:after="0" w:line="324" w:lineRule="atLeast"/>
        <w:rPr>
          <w:rFonts w:eastAsia="Times New Roman" w:cs="Arial"/>
          <w:szCs w:val="24"/>
          <w:lang w:eastAsia="en-GB"/>
        </w:rPr>
      </w:pPr>
      <w:r w:rsidRPr="003D6D38">
        <w:rPr>
          <w:rFonts w:eastAsia="Times New Roman" w:cs="Arial"/>
          <w:szCs w:val="24"/>
          <w:lang w:eastAsia="en-GB"/>
        </w:rPr>
        <w:t xml:space="preserve">include </w:t>
      </w:r>
      <w:r w:rsidRPr="003D6D38">
        <w:rPr>
          <w:rFonts w:eastAsia="Times New Roman" w:cs="Arial"/>
          <w:b/>
          <w:bCs/>
          <w:szCs w:val="24"/>
          <w:lang w:eastAsia="en-GB"/>
        </w:rPr>
        <w:t xml:space="preserve">direct </w:t>
      </w:r>
      <w:r w:rsidRPr="003D6D38">
        <w:rPr>
          <w:rFonts w:eastAsia="Times New Roman" w:cs="Arial"/>
          <w:szCs w:val="24"/>
          <w:lang w:eastAsia="en-GB"/>
        </w:rPr>
        <w:t>links to other information sources where further detail or investigation would be recommended, like a service referral form</w:t>
      </w:r>
    </w:p>
    <w:p w:rsidR="00CE5C17" w:rsidRPr="003D6D38" w:rsidRDefault="00CE5C17" w:rsidP="00CE5C17">
      <w:pPr>
        <w:numPr>
          <w:ilvl w:val="0"/>
          <w:numId w:val="3"/>
        </w:numPr>
        <w:shd w:val="clear" w:color="auto" w:fill="FFFFFF"/>
        <w:spacing w:after="0" w:line="324" w:lineRule="atLeast"/>
        <w:rPr>
          <w:rFonts w:eastAsia="Times New Roman" w:cs="Arial"/>
          <w:szCs w:val="24"/>
          <w:lang w:eastAsia="en-GB"/>
        </w:rPr>
      </w:pPr>
      <w:r w:rsidRPr="003D6D38">
        <w:rPr>
          <w:rFonts w:eastAsia="Times New Roman" w:cs="Arial"/>
          <w:szCs w:val="24"/>
          <w:lang w:eastAsia="en-GB"/>
        </w:rPr>
        <w:t>wherever you can, avoid using jargon, abbreviations or ‘professional speak’ - use plain English</w:t>
      </w:r>
    </w:p>
    <w:p w:rsidR="00CE5C17" w:rsidRPr="003D6D38" w:rsidRDefault="00CE5C17" w:rsidP="00CE5C17">
      <w:pPr>
        <w:numPr>
          <w:ilvl w:val="0"/>
          <w:numId w:val="3"/>
        </w:numPr>
        <w:shd w:val="clear" w:color="auto" w:fill="FFFFFF"/>
        <w:spacing w:after="0" w:line="324" w:lineRule="atLeast"/>
        <w:rPr>
          <w:rFonts w:eastAsia="Times New Roman" w:cs="Arial"/>
          <w:szCs w:val="24"/>
          <w:lang w:eastAsia="en-GB"/>
        </w:rPr>
      </w:pPr>
      <w:proofErr w:type="gramStart"/>
      <w:r w:rsidRPr="003D6D38">
        <w:rPr>
          <w:rFonts w:eastAsia="Times New Roman" w:cs="Arial"/>
          <w:szCs w:val="24"/>
          <w:lang w:eastAsia="en-GB"/>
        </w:rPr>
        <w:t>ask</w:t>
      </w:r>
      <w:proofErr w:type="gramEnd"/>
      <w:r w:rsidRPr="003D6D38">
        <w:rPr>
          <w:rFonts w:eastAsia="Times New Roman" w:cs="Arial"/>
          <w:szCs w:val="24"/>
          <w:lang w:eastAsia="en-GB"/>
        </w:rPr>
        <w:t xml:space="preserve"> an independent person to read the final version of your Offer (ideally a parent or carer) to make sure it is clear, before you upload it to the website.</w:t>
      </w:r>
    </w:p>
    <w:p w:rsidR="00CE5C17" w:rsidRPr="003D6D38" w:rsidRDefault="00CE5C17" w:rsidP="00CE5C17">
      <w:pPr>
        <w:shd w:val="clear" w:color="auto" w:fill="FFFFFF"/>
        <w:spacing w:after="0" w:line="324" w:lineRule="atLeast"/>
        <w:rPr>
          <w:rFonts w:eastAsia="Times New Roman" w:cs="Arial"/>
          <w:color w:val="444444"/>
          <w:szCs w:val="24"/>
          <w:lang w:eastAsia="en-GB"/>
        </w:rPr>
      </w:pPr>
    </w:p>
    <w:p w:rsidR="0001285B" w:rsidRDefault="0001285B"/>
    <w:sectPr w:rsidR="0001285B" w:rsidSect="00BA559C">
      <w:pgSz w:w="11906" w:h="16838"/>
      <w:pgMar w:top="144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3D8"/>
    <w:multiLevelType w:val="hybridMultilevel"/>
    <w:tmpl w:val="18E215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CC37B9"/>
    <w:multiLevelType w:val="hybridMultilevel"/>
    <w:tmpl w:val="CBAA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2569CC"/>
    <w:multiLevelType w:val="hybridMultilevel"/>
    <w:tmpl w:val="025E3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C13750"/>
    <w:multiLevelType w:val="hybridMultilevel"/>
    <w:tmpl w:val="0058A018"/>
    <w:lvl w:ilvl="0" w:tplc="851CF27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416F0"/>
    <w:multiLevelType w:val="hybridMultilevel"/>
    <w:tmpl w:val="78888D5A"/>
    <w:lvl w:ilvl="0" w:tplc="851CF27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0D419D"/>
    <w:multiLevelType w:val="hybridMultilevel"/>
    <w:tmpl w:val="D1E6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F57941"/>
    <w:multiLevelType w:val="hybridMultilevel"/>
    <w:tmpl w:val="29EC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AD4817"/>
    <w:multiLevelType w:val="hybridMultilevel"/>
    <w:tmpl w:val="EEDA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46BC2"/>
    <w:multiLevelType w:val="hybridMultilevel"/>
    <w:tmpl w:val="9B14F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E32ABB"/>
    <w:multiLevelType w:val="hybridMultilevel"/>
    <w:tmpl w:val="25DE41FC"/>
    <w:lvl w:ilvl="0" w:tplc="851CF27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020750"/>
    <w:multiLevelType w:val="hybridMultilevel"/>
    <w:tmpl w:val="6C3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11A99"/>
    <w:multiLevelType w:val="hybridMultilevel"/>
    <w:tmpl w:val="4920B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1C7295D"/>
    <w:multiLevelType w:val="hybridMultilevel"/>
    <w:tmpl w:val="C298FB64"/>
    <w:lvl w:ilvl="0" w:tplc="851CF27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D73F25"/>
    <w:multiLevelType w:val="multilevel"/>
    <w:tmpl w:val="82C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7116CA"/>
    <w:multiLevelType w:val="hybridMultilevel"/>
    <w:tmpl w:val="05EA2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0"/>
  </w:num>
  <w:num w:numId="4">
    <w:abstractNumId w:val="1"/>
  </w:num>
  <w:num w:numId="5">
    <w:abstractNumId w:val="11"/>
  </w:num>
  <w:num w:numId="6">
    <w:abstractNumId w:val="6"/>
  </w:num>
  <w:num w:numId="7">
    <w:abstractNumId w:val="14"/>
  </w:num>
  <w:num w:numId="8">
    <w:abstractNumId w:val="10"/>
  </w:num>
  <w:num w:numId="9">
    <w:abstractNumId w:val="5"/>
  </w:num>
  <w:num w:numId="10">
    <w:abstractNumId w:val="8"/>
  </w:num>
  <w:num w:numId="11">
    <w:abstractNumId w:val="2"/>
  </w:num>
  <w:num w:numId="12">
    <w:abstractNumId w:val="12"/>
  </w:num>
  <w:num w:numId="13">
    <w:abstractNumId w:val="4"/>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C17"/>
    <w:rsid w:val="00003045"/>
    <w:rsid w:val="0001285B"/>
    <w:rsid w:val="00031EAF"/>
    <w:rsid w:val="002B29DA"/>
    <w:rsid w:val="00316544"/>
    <w:rsid w:val="003D6D38"/>
    <w:rsid w:val="004D6595"/>
    <w:rsid w:val="005132AF"/>
    <w:rsid w:val="005A3168"/>
    <w:rsid w:val="006155F6"/>
    <w:rsid w:val="0070084F"/>
    <w:rsid w:val="00774E47"/>
    <w:rsid w:val="00847FD3"/>
    <w:rsid w:val="008E3B25"/>
    <w:rsid w:val="00905F43"/>
    <w:rsid w:val="00917DBB"/>
    <w:rsid w:val="00B64A2F"/>
    <w:rsid w:val="00BA559C"/>
    <w:rsid w:val="00CE5C17"/>
    <w:rsid w:val="00D35B24"/>
    <w:rsid w:val="00D5627E"/>
    <w:rsid w:val="00DC3C07"/>
    <w:rsid w:val="00FC7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C1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CE5C17"/>
    <w:pPr>
      <w:ind w:left="720"/>
      <w:contextualSpacing/>
    </w:pPr>
  </w:style>
  <w:style w:type="paragraph" w:customStyle="1" w:styleId="Default">
    <w:name w:val="Default"/>
    <w:rsid w:val="003D6D38"/>
    <w:pPr>
      <w:autoSpaceDE w:val="0"/>
      <w:autoSpaceDN w:val="0"/>
      <w:adjustRightInd w:val="0"/>
      <w:spacing w:after="0" w:line="240" w:lineRule="auto"/>
    </w:pPr>
    <w:rPr>
      <w:rFonts w:cs="Arial"/>
      <w:color w:val="000000"/>
      <w:szCs w:val="24"/>
    </w:rPr>
  </w:style>
  <w:style w:type="paragraph" w:styleId="NoSpacing">
    <w:name w:val="No Spacing"/>
    <w:uiPriority w:val="1"/>
    <w:qFormat/>
    <w:rsid w:val="003D6D38"/>
    <w:pPr>
      <w:spacing w:after="0" w:line="240" w:lineRule="auto"/>
    </w:pPr>
  </w:style>
  <w:style w:type="character" w:styleId="Hyperlink">
    <w:name w:val="Hyperlink"/>
    <w:basedOn w:val="DefaultParagraphFont"/>
    <w:uiPriority w:val="99"/>
    <w:unhideWhenUsed/>
    <w:rsid w:val="00905F43"/>
    <w:rPr>
      <w:color w:val="0000FF" w:themeColor="hyperlink"/>
      <w:u w:val="single"/>
    </w:rPr>
  </w:style>
  <w:style w:type="character" w:styleId="FollowedHyperlink">
    <w:name w:val="FollowedHyperlink"/>
    <w:basedOn w:val="DefaultParagraphFont"/>
    <w:uiPriority w:val="99"/>
    <w:semiHidden/>
    <w:unhideWhenUsed/>
    <w:rsid w:val="004D65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95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25875/SEND-Code_of_Practice-June201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timbeveridge</dc:creator>
  <cp:keywords/>
  <dc:description/>
  <cp:lastModifiedBy>deepsathyanarayanan</cp:lastModifiedBy>
  <cp:revision>2</cp:revision>
  <dcterms:created xsi:type="dcterms:W3CDTF">2014-07-07T08:27:00Z</dcterms:created>
  <dcterms:modified xsi:type="dcterms:W3CDTF">2014-07-07T08:27:00Z</dcterms:modified>
</cp:coreProperties>
</file>